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BBFF2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  <w:bookmarkStart w:id="0" w:name="_GoBack"/>
      <w:bookmarkEnd w:id="0"/>
    </w:p>
    <w:p w14:paraId="403F9A9B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631AF12A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205C5192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10B20E68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19DF6062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1BA2D5B1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50EC9D53" w14:textId="77777777" w:rsidR="00EA1715" w:rsidRDefault="00EA1715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</w:p>
    <w:p w14:paraId="17FD33C6" w14:textId="77777777" w:rsidR="009D2878" w:rsidRPr="00F40C04" w:rsidRDefault="009D2878" w:rsidP="009D2878">
      <w:pPr>
        <w:jc w:val="both"/>
        <w:rPr>
          <w:rFonts w:ascii="Arial" w:hAnsi="Arial" w:cs="Arial"/>
          <w:b/>
          <w:bCs/>
          <w:color w:val="17365D" w:themeColor="text2" w:themeShade="BF"/>
          <w:szCs w:val="20"/>
        </w:rPr>
      </w:pPr>
      <w:r w:rsidRPr="009D2878">
        <w:rPr>
          <w:rFonts w:ascii="Arial" w:hAnsi="Arial" w:cs="Arial"/>
          <w:b/>
          <w:bCs/>
          <w:color w:val="17365D" w:themeColor="text2" w:themeShade="BF"/>
          <w:szCs w:val="20"/>
        </w:rPr>
        <w:t>El próximo 31 de marzo finaliza el primer plazo que tienen los autónomos para cambiar su base de cotización en 2018</w:t>
      </w:r>
    </w:p>
    <w:p w14:paraId="67B7ECC6" w14:textId="77777777" w:rsidR="009D2878" w:rsidRPr="00F40C04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</w:p>
    <w:p w14:paraId="16034A77" w14:textId="77777777" w:rsidR="009D2878" w:rsidRPr="00F40C04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  <w:r w:rsidRPr="009D2878">
        <w:rPr>
          <w:rFonts w:ascii="Arial" w:hAnsi="Arial" w:cs="Arial"/>
          <w:color w:val="17365D" w:themeColor="text2" w:themeShade="BF"/>
          <w:szCs w:val="20"/>
        </w:rPr>
        <w:t>Si usted es autónomo, hasta 2017 sólo podía solicitar el cambio de su base de cotización dos veces al año: antes del 1 de noviembre con efectos desde el 1 de enero del año próximo, o bien antes del 1 de mayo con efectos desde el 1 de julio siguiente.</w:t>
      </w:r>
      <w:r w:rsidRPr="00F40C04">
        <w:rPr>
          <w:rFonts w:ascii="Arial" w:hAnsi="Arial" w:cs="Arial"/>
          <w:color w:val="17365D" w:themeColor="text2" w:themeShade="BF"/>
          <w:szCs w:val="20"/>
        </w:rPr>
        <w:t> </w:t>
      </w:r>
      <w:r w:rsidRPr="00F40C04">
        <w:rPr>
          <w:rFonts w:ascii="Arial" w:hAnsi="Arial" w:cs="Arial"/>
          <w:b/>
          <w:bCs/>
          <w:color w:val="17365D" w:themeColor="text2" w:themeShade="BF"/>
          <w:szCs w:val="20"/>
        </w:rPr>
        <w:t>Apunte.</w:t>
      </w:r>
      <w:r w:rsidRPr="00F40C04">
        <w:rPr>
          <w:rFonts w:ascii="Arial" w:hAnsi="Arial" w:cs="Arial"/>
          <w:color w:val="17365D" w:themeColor="text2" w:themeShade="BF"/>
          <w:szCs w:val="20"/>
        </w:rPr>
        <w:t> </w:t>
      </w:r>
      <w:r w:rsidRPr="009D2878">
        <w:rPr>
          <w:rFonts w:ascii="Arial" w:hAnsi="Arial" w:cs="Arial"/>
          <w:color w:val="17365D" w:themeColor="text2" w:themeShade="BF"/>
          <w:szCs w:val="20"/>
        </w:rPr>
        <w:t>No obstante, desde el 1 de enero de 2018 puede cambiar su base hasta cuatro veces al año. En concreto, puede hacerlo en los siguientes plazos:</w:t>
      </w:r>
    </w:p>
    <w:p w14:paraId="174C653D" w14:textId="77777777" w:rsidR="009D2878" w:rsidRPr="009D2878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</w:p>
    <w:p w14:paraId="68D49CDD" w14:textId="77777777" w:rsidR="009D2878" w:rsidRPr="009D2878" w:rsidRDefault="009D2878" w:rsidP="009D2878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Con efectos desde el 1 de abril si la solicitud se formula entre el 1 de enero y el 31 de marzo.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br/>
      </w:r>
    </w:p>
    <w:p w14:paraId="3F92C3F8" w14:textId="77777777" w:rsidR="009D2878" w:rsidRPr="009D2878" w:rsidRDefault="009D2878" w:rsidP="009D2878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Con efectos desde el 1 de julio si la solicitud se formula entre el 1 de abril y el 30 de junio.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br/>
      </w:r>
    </w:p>
    <w:p w14:paraId="7C74DA54" w14:textId="77777777" w:rsidR="009D2878" w:rsidRPr="009D2878" w:rsidRDefault="009D2878" w:rsidP="009D2878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Con efectos desde el 1 de octubre si la solicitud se formula entre el 1 de julio y el 30 de septiembre.</w:t>
      </w:r>
    </w:p>
    <w:p w14:paraId="29E8D588" w14:textId="77777777" w:rsidR="009D2878" w:rsidRPr="00F40C04" w:rsidRDefault="009D2878" w:rsidP="009D2878">
      <w:pPr>
        <w:numPr>
          <w:ilvl w:val="0"/>
          <w:numId w:val="1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Con efectos desde el 1 de enero del año siguiente si la solicitud se formula entre el 1 de octubre y el 31 de diciembre.</w:t>
      </w:r>
    </w:p>
    <w:p w14:paraId="6454968D" w14:textId="77777777" w:rsidR="009D2878" w:rsidRPr="009D2878" w:rsidRDefault="009D2878" w:rsidP="009D2878">
      <w:pPr>
        <w:numPr>
          <w:ilvl w:val="0"/>
          <w:numId w:val="1"/>
        </w:numPr>
        <w:ind w:left="945"/>
        <w:jc w:val="both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1C207864" w14:textId="77777777" w:rsidR="009D2878" w:rsidRPr="00F40C04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  <w:r w:rsidRPr="009D2878">
        <w:rPr>
          <w:rFonts w:ascii="Arial" w:hAnsi="Arial" w:cs="Arial"/>
          <w:color w:val="17365D" w:themeColor="text2" w:themeShade="BF"/>
          <w:szCs w:val="20"/>
        </w:rPr>
        <w:t>Así pues, si desea modificar su base de cotización, el primer plazo que tiene para hacerlo en 2018 finaliza el próximo 31 de marzo. A estos efectos, en general, las bases mínima y máxima de cotización en 2018 son de 919,80 y 3.751,20 euros mensuales respectivamente.</w:t>
      </w:r>
      <w:r w:rsidRPr="00F40C04">
        <w:rPr>
          <w:rFonts w:ascii="Arial" w:hAnsi="Arial" w:cs="Arial"/>
          <w:color w:val="17365D" w:themeColor="text2" w:themeShade="BF"/>
          <w:szCs w:val="20"/>
        </w:rPr>
        <w:t> </w:t>
      </w:r>
      <w:r w:rsidRPr="00F40C04">
        <w:rPr>
          <w:rFonts w:ascii="Arial" w:hAnsi="Arial" w:cs="Arial"/>
          <w:b/>
          <w:bCs/>
          <w:color w:val="17365D" w:themeColor="text2" w:themeShade="BF"/>
          <w:szCs w:val="20"/>
        </w:rPr>
        <w:t>Apunte.</w:t>
      </w:r>
      <w:r w:rsidRPr="00F40C04">
        <w:rPr>
          <w:rFonts w:ascii="Arial" w:hAnsi="Arial" w:cs="Arial"/>
          <w:color w:val="17365D" w:themeColor="text2" w:themeShade="BF"/>
          <w:szCs w:val="20"/>
        </w:rPr>
        <w:t> </w:t>
      </w:r>
      <w:r w:rsidRPr="009D2878">
        <w:rPr>
          <w:rFonts w:ascii="Arial" w:hAnsi="Arial" w:cs="Arial"/>
          <w:color w:val="17365D" w:themeColor="text2" w:themeShade="BF"/>
          <w:szCs w:val="20"/>
        </w:rPr>
        <w:t>Sin embargo, según la edad que tuviera a 1 de enero, la base de cotización que podrá elegir en 2018 está limitada. En concreto:</w:t>
      </w:r>
    </w:p>
    <w:p w14:paraId="24B74DA6" w14:textId="77777777" w:rsidR="009D2878" w:rsidRPr="009D2878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</w:p>
    <w:p w14:paraId="272AB16C" w14:textId="77777777" w:rsidR="009D2878" w:rsidRDefault="009D2878" w:rsidP="009D2878">
      <w:pPr>
        <w:numPr>
          <w:ilvl w:val="0"/>
          <w:numId w:val="2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F40C04">
        <w:rPr>
          <w:rFonts w:ascii="Arial" w:eastAsia="Times New Roman" w:hAnsi="Arial" w:cs="Arial"/>
          <w:i/>
          <w:iCs/>
          <w:color w:val="17365D" w:themeColor="text2" w:themeShade="BF"/>
          <w:szCs w:val="20"/>
        </w:rPr>
        <w:t>Todavía no tenía 47 años.</w:t>
      </w:r>
      <w:r w:rsidRPr="00F40C04">
        <w:rPr>
          <w:rFonts w:ascii="Arial" w:eastAsia="Times New Roman" w:hAnsi="Arial" w:cs="Arial"/>
          <w:color w:val="17365D" w:themeColor="text2" w:themeShade="BF"/>
          <w:szCs w:val="20"/>
        </w:rPr>
        <w:t> 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Si a 1 de enero de 2018 todavía no había cumplido 47 años, podrá elegir cualquier base de cotización dentro de los límites mínimos y máximos indicados (919,80 euros y 3.751,20 euros).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br/>
      </w:r>
    </w:p>
    <w:p w14:paraId="298156B6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61E8460D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26D45AEF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3BB1401E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19F588B5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7B8A3801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00937DAC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3548D3FA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45F8E2E8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7825AF63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58C66E09" w14:textId="77777777" w:rsidR="00EA1715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4F783FE3" w14:textId="77777777" w:rsidR="00EA1715" w:rsidRPr="009D2878" w:rsidRDefault="00EA1715" w:rsidP="00EA1715">
      <w:pPr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2BE54717" w14:textId="77777777" w:rsidR="009D2878" w:rsidRPr="009D2878" w:rsidRDefault="009D2878" w:rsidP="009D2878">
      <w:pPr>
        <w:numPr>
          <w:ilvl w:val="0"/>
          <w:numId w:val="2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F40C04">
        <w:rPr>
          <w:rFonts w:ascii="Arial" w:eastAsia="Times New Roman" w:hAnsi="Arial" w:cs="Arial"/>
          <w:i/>
          <w:iCs/>
          <w:color w:val="17365D" w:themeColor="text2" w:themeShade="BF"/>
          <w:szCs w:val="20"/>
        </w:rPr>
        <w:t>Si ya tenía 47 años.</w:t>
      </w:r>
      <w:r w:rsidRPr="00F40C04">
        <w:rPr>
          <w:rFonts w:ascii="Arial" w:eastAsia="Times New Roman" w:hAnsi="Arial" w:cs="Arial"/>
          <w:color w:val="17365D" w:themeColor="text2" w:themeShade="BF"/>
          <w:szCs w:val="20"/>
        </w:rPr>
        <w:t> 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La misma regla se le aplicará si a esa fecha tenía 47 años y su base de cotización en diciembre de 2017 fue igual o superior a 2.023,50 euros.</w:t>
      </w:r>
      <w:r w:rsidRPr="00F40C04">
        <w:rPr>
          <w:rFonts w:ascii="Arial" w:eastAsia="Times New Roman" w:hAnsi="Arial" w:cs="Arial"/>
          <w:color w:val="17365D" w:themeColor="text2" w:themeShade="BF"/>
          <w:szCs w:val="20"/>
        </w:rPr>
        <w:t> </w:t>
      </w:r>
      <w:r w:rsidRPr="00F40C04">
        <w:rPr>
          <w:rFonts w:ascii="Arial" w:eastAsia="Times New Roman" w:hAnsi="Arial" w:cs="Arial"/>
          <w:b/>
          <w:bCs/>
          <w:color w:val="17365D" w:themeColor="text2" w:themeShade="BF"/>
          <w:szCs w:val="20"/>
        </w:rPr>
        <w:t>¡Atención!</w:t>
      </w:r>
      <w:r w:rsidRPr="00F40C04">
        <w:rPr>
          <w:rFonts w:ascii="Arial" w:eastAsia="Times New Roman" w:hAnsi="Arial" w:cs="Arial"/>
          <w:color w:val="17365D" w:themeColor="text2" w:themeShade="BF"/>
          <w:szCs w:val="20"/>
        </w:rPr>
        <w:t> 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Si su base en dicho mes fue inferior, no podrá elegir una base superior a 2.023,50 euros mensuales. Ello, salvo si ejercita su opción antes del 30 de junio de 2018, o salvo si es el cónyuge supérstite del titular de un negocio y, como consecuencia del fallecimiento de éste, ha tenido que ponerse al frente de dicho negocio y darse de alta en el RETA con 47 años de edad (en estos casos, no hay limitación de bases).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br/>
      </w:r>
    </w:p>
    <w:p w14:paraId="15E50271" w14:textId="77777777" w:rsidR="009D2878" w:rsidRPr="00F40C04" w:rsidRDefault="009D2878" w:rsidP="009D2878">
      <w:pPr>
        <w:numPr>
          <w:ilvl w:val="0"/>
          <w:numId w:val="2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F40C04">
        <w:rPr>
          <w:rFonts w:ascii="Arial" w:eastAsia="Times New Roman" w:hAnsi="Arial" w:cs="Arial"/>
          <w:i/>
          <w:iCs/>
          <w:color w:val="17365D" w:themeColor="text2" w:themeShade="BF"/>
          <w:szCs w:val="20"/>
        </w:rPr>
        <w:t>48 o más años.</w:t>
      </w:r>
      <w:r w:rsidRPr="00F40C04">
        <w:rPr>
          <w:rFonts w:ascii="Arial" w:eastAsia="Times New Roman" w:hAnsi="Arial" w:cs="Arial"/>
          <w:color w:val="17365D" w:themeColor="text2" w:themeShade="BF"/>
          <w:szCs w:val="20"/>
        </w:rPr>
        <w:t> 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Si a principios de 2018 ya tenía 48 o más años, sólo podrá elegir una base de entre 992,10 y 2.023,50 euros. Ello, salvo si es el cónyuge supérstite del titular de un negocio y, como consecuencia del fallecimiento de éste, ha tenido que ponerse al frente de dicho negocio y darse de alta en el RETA con 45 o más años de edad, en cuyo caso la elección de bases estará comprendida entre las cuantías de 919,80 y 2.023,50 euros mensuales.</w:t>
      </w:r>
    </w:p>
    <w:p w14:paraId="0D9B6EAA" w14:textId="77777777" w:rsidR="009D2878" w:rsidRPr="009D2878" w:rsidRDefault="009D2878" w:rsidP="009D2878">
      <w:pPr>
        <w:ind w:left="945"/>
        <w:jc w:val="both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1EF1196C" w14:textId="77777777" w:rsidR="009D2878" w:rsidRPr="00F40C04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  <w:r w:rsidRPr="009D2878">
        <w:rPr>
          <w:rFonts w:ascii="Arial" w:hAnsi="Arial" w:cs="Arial"/>
          <w:color w:val="17365D" w:themeColor="text2" w:themeShade="BF"/>
          <w:szCs w:val="20"/>
        </w:rPr>
        <w:t>No obstante, la base de cotización de los trabajadores autónomos que con anterioridad a los 50 años hubieran cotizado en cualquiera de los regímenes del sistema de la Seguridad Social cinco o más años será la siguiente:</w:t>
      </w:r>
    </w:p>
    <w:p w14:paraId="2268F76A" w14:textId="77777777" w:rsidR="009D2878" w:rsidRPr="009D2878" w:rsidRDefault="009D2878" w:rsidP="009D2878">
      <w:pPr>
        <w:jc w:val="both"/>
        <w:rPr>
          <w:rFonts w:ascii="Arial" w:hAnsi="Arial" w:cs="Arial"/>
          <w:color w:val="17365D" w:themeColor="text2" w:themeShade="BF"/>
          <w:szCs w:val="20"/>
        </w:rPr>
      </w:pPr>
    </w:p>
    <w:p w14:paraId="2FE8534F" w14:textId="77777777" w:rsidR="009D2878" w:rsidRPr="009D2878" w:rsidRDefault="009D2878" w:rsidP="009D2878">
      <w:pPr>
        <w:numPr>
          <w:ilvl w:val="0"/>
          <w:numId w:val="3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Si la última base de cotización acreditada hubiera sido igual o inferior a 2.023,50 euros mensuales, se habrá de cotizar por una base comprendida entre 919,80 y 2.023,50 euros mensuales.</w:t>
      </w: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br/>
      </w:r>
    </w:p>
    <w:p w14:paraId="7ED0C135" w14:textId="77777777" w:rsidR="009D2878" w:rsidRPr="00F40C04" w:rsidRDefault="009D2878" w:rsidP="009D2878">
      <w:pPr>
        <w:numPr>
          <w:ilvl w:val="0"/>
          <w:numId w:val="3"/>
        </w:numPr>
        <w:ind w:left="945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  <w:r w:rsidRPr="009D2878">
        <w:rPr>
          <w:rFonts w:ascii="Arial" w:eastAsia="Times New Roman" w:hAnsi="Arial" w:cs="Arial"/>
          <w:color w:val="17365D" w:themeColor="text2" w:themeShade="BF"/>
          <w:szCs w:val="20"/>
        </w:rPr>
        <w:t>Si la última base de cotización acreditada hubiera sido superior a 2.023,50 euros mensuales, se habrá de cotizar por una base comprendida entre 919,80 euros mensuales y el importe de aquélla incrementado en un 3%, con el tope de la base máxima de cotización.</w:t>
      </w:r>
    </w:p>
    <w:p w14:paraId="29910158" w14:textId="77777777" w:rsidR="009D2878" w:rsidRPr="009D2878" w:rsidRDefault="009D2878" w:rsidP="009D2878">
      <w:pPr>
        <w:ind w:left="945"/>
        <w:jc w:val="both"/>
        <w:rPr>
          <w:rFonts w:ascii="Arial" w:eastAsia="Times New Roman" w:hAnsi="Arial" w:cs="Arial"/>
          <w:color w:val="17365D" w:themeColor="text2" w:themeShade="BF"/>
          <w:sz w:val="22"/>
          <w:szCs w:val="19"/>
        </w:rPr>
      </w:pPr>
    </w:p>
    <w:p w14:paraId="3AED66CF" w14:textId="77777777" w:rsidR="00417F86" w:rsidRPr="00F40C04" w:rsidRDefault="009D2878" w:rsidP="009D2878">
      <w:pPr>
        <w:jc w:val="both"/>
        <w:rPr>
          <w:rFonts w:ascii="Arial" w:hAnsi="Arial" w:cs="Arial"/>
          <w:color w:val="17365D" w:themeColor="text2" w:themeShade="BF"/>
          <w:sz w:val="32"/>
        </w:rPr>
      </w:pPr>
      <w:r w:rsidRPr="009D2878">
        <w:rPr>
          <w:rFonts w:ascii="Arial" w:hAnsi="Arial" w:cs="Arial"/>
          <w:color w:val="17365D" w:themeColor="text2" w:themeShade="BF"/>
          <w:szCs w:val="20"/>
        </w:rPr>
        <w:t>Por otro lado, los autónomos societarios (es decir, socios que poseen el control efectivo de su sociedad y que aparte trabajan en ella) y los autónomos que en algún momento del año 2017 y de manera simultánea hayan tenido contratado a su servicio un número de trabajadores por cuenta ajena igual o superior a diez, tienen una base mínima de cotización de 1.199,10 euros (la equivalente al grupo de cotización 1 del Régimen General).</w:t>
      </w:r>
      <w:r w:rsidRPr="009D2878">
        <w:rPr>
          <w:rFonts w:ascii="Arial" w:hAnsi="Arial" w:cs="Arial"/>
          <w:color w:val="17365D" w:themeColor="text2" w:themeShade="BF"/>
          <w:szCs w:val="20"/>
        </w:rPr>
        <w:br/>
      </w:r>
      <w:r w:rsidRPr="009D2878">
        <w:rPr>
          <w:rFonts w:ascii="Arial" w:hAnsi="Arial" w:cs="Arial"/>
          <w:color w:val="17365D" w:themeColor="text2" w:themeShade="BF"/>
          <w:szCs w:val="20"/>
        </w:rPr>
        <w:br/>
        <w:t>Si quiere cambiar su base, no se demore. En general, podrá optar por una base de entre 919,80 y 3.751,20 euros.</w:t>
      </w:r>
    </w:p>
    <w:sectPr w:rsidR="00417F86" w:rsidRPr="00F40C04" w:rsidSect="00E10EE4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8A8D8" w14:textId="77777777" w:rsidR="00416425" w:rsidRDefault="00416425" w:rsidP="009D2878">
      <w:r>
        <w:separator/>
      </w:r>
    </w:p>
  </w:endnote>
  <w:endnote w:type="continuationSeparator" w:id="0">
    <w:p w14:paraId="30862EF4" w14:textId="77777777" w:rsidR="00416425" w:rsidRDefault="00416425" w:rsidP="009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6586B" w14:textId="77777777" w:rsidR="009D2878" w:rsidRPr="00EA1715" w:rsidRDefault="009D2878" w:rsidP="009D2878">
    <w:pPr>
      <w:rPr>
        <w:rFonts w:ascii="Times New Roman" w:eastAsia="Times New Roman" w:hAnsi="Times New Roman" w:cs="Times New Roman"/>
        <w:b/>
        <w:color w:val="17365D" w:themeColor="text2" w:themeShade="BF"/>
        <w:lang w:val="es-ES"/>
      </w:rPr>
    </w:pP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>Avenida Doctor Clara, Nº 12</w:t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EA1715">
      <w:rPr>
        <w:rFonts w:ascii="Arial" w:eastAsia="Times New Roman" w:hAnsi="Arial" w:cs="Arial"/>
        <w:b/>
        <w:color w:val="17365D" w:themeColor="text2" w:themeShade="BF"/>
        <w:lang w:val="es-ES"/>
      </w:rPr>
      <w:t>skala@skalaasesoria.com</w:t>
    </w:r>
  </w:p>
  <w:p w14:paraId="5F9AD264" w14:textId="77777777" w:rsidR="009D2878" w:rsidRPr="009D2878" w:rsidRDefault="009D2878" w:rsidP="009D2878">
    <w:pPr>
      <w:spacing w:before="100" w:beforeAutospacing="1" w:after="100" w:afterAutospacing="1"/>
      <w:contextualSpacing/>
      <w:outlineLvl w:val="1"/>
      <w:rPr>
        <w:rFonts w:ascii="Arial" w:eastAsia="Times New Roman" w:hAnsi="Arial" w:cs="Arial"/>
        <w:b/>
        <w:bCs/>
        <w:color w:val="17365D" w:themeColor="text2" w:themeShade="BF"/>
      </w:rPr>
    </w:pP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 xml:space="preserve">12002 </w:t>
    </w:r>
  </w:p>
  <w:p w14:paraId="51863825" w14:textId="77777777" w:rsidR="009D2878" w:rsidRPr="009D2878" w:rsidRDefault="009D2878" w:rsidP="009D2878">
    <w:pPr>
      <w:rPr>
        <w:rFonts w:ascii="Arial" w:eastAsia="Times New Roman" w:hAnsi="Arial" w:cs="Arial"/>
        <w:color w:val="17365D" w:themeColor="text2" w:themeShade="BF"/>
        <w:lang w:val="en-US"/>
      </w:rPr>
    </w:pP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>Castellón de la Plana</w:t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9D2878">
      <w:rPr>
        <w:rFonts w:ascii="Arial" w:eastAsia="Times New Roman" w:hAnsi="Arial" w:cs="Arial"/>
        <w:b/>
        <w:bCs/>
        <w:color w:val="17365D" w:themeColor="text2" w:themeShade="BF"/>
        <w:spacing w:val="10"/>
      </w:rPr>
      <w:tab/>
    </w:r>
    <w:r w:rsidRPr="009D2878">
      <w:rPr>
        <w:rFonts w:ascii="Arial" w:eastAsia="Times New Roman" w:hAnsi="Arial" w:cs="Arial"/>
        <w:b/>
        <w:color w:val="17365D" w:themeColor="text2" w:themeShade="BF"/>
        <w:lang w:val="en-US"/>
      </w:rPr>
      <w:t>(+34) 964 91 91 11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8954" w14:textId="77777777" w:rsidR="00416425" w:rsidRDefault="00416425" w:rsidP="009D2878">
      <w:r>
        <w:separator/>
      </w:r>
    </w:p>
  </w:footnote>
  <w:footnote w:type="continuationSeparator" w:id="0">
    <w:p w14:paraId="3E69D7DF" w14:textId="77777777" w:rsidR="00416425" w:rsidRDefault="00416425" w:rsidP="009D28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6FC1" w14:textId="77777777" w:rsidR="009D2878" w:rsidRDefault="009D2878">
    <w:pPr>
      <w:pStyle w:val="Header"/>
    </w:pPr>
    <w:r w:rsidRPr="009D2878">
      <w:rPr>
        <w:rFonts w:ascii="Arial" w:eastAsia="Times New Roman" w:hAnsi="Arial" w:cs="Arial"/>
        <w:noProof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5DC2B553" wp14:editId="11B314E3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2115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ka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8DF"/>
    <w:multiLevelType w:val="multilevel"/>
    <w:tmpl w:val="010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BD31B6"/>
    <w:multiLevelType w:val="multilevel"/>
    <w:tmpl w:val="C5B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317B55"/>
    <w:multiLevelType w:val="multilevel"/>
    <w:tmpl w:val="8198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78"/>
    <w:rsid w:val="00416425"/>
    <w:rsid w:val="00417F86"/>
    <w:rsid w:val="009D2878"/>
    <w:rsid w:val="00E10EE4"/>
    <w:rsid w:val="00EA1715"/>
    <w:rsid w:val="00F240C0"/>
    <w:rsid w:val="00F40C04"/>
    <w:rsid w:val="00F5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564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87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2878"/>
  </w:style>
  <w:style w:type="character" w:styleId="Strong">
    <w:name w:val="Strong"/>
    <w:basedOn w:val="DefaultParagraphFont"/>
    <w:uiPriority w:val="22"/>
    <w:qFormat/>
    <w:rsid w:val="009D2878"/>
    <w:rPr>
      <w:b/>
      <w:bCs/>
    </w:rPr>
  </w:style>
  <w:style w:type="character" w:styleId="Emphasis">
    <w:name w:val="Emphasis"/>
    <w:basedOn w:val="DefaultParagraphFont"/>
    <w:uiPriority w:val="20"/>
    <w:qFormat/>
    <w:rsid w:val="009D28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78"/>
  </w:style>
  <w:style w:type="paragraph" w:styleId="Footer">
    <w:name w:val="footer"/>
    <w:basedOn w:val="Normal"/>
    <w:link w:val="FooterChar"/>
    <w:uiPriority w:val="99"/>
    <w:unhideWhenUsed/>
    <w:rsid w:val="009D2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78"/>
  </w:style>
  <w:style w:type="character" w:customStyle="1" w:styleId="Heading2Char">
    <w:name w:val="Heading 2 Char"/>
    <w:basedOn w:val="DefaultParagraphFont"/>
    <w:link w:val="Heading2"/>
    <w:uiPriority w:val="9"/>
    <w:rsid w:val="009D2878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color29">
    <w:name w:val="color_29"/>
    <w:basedOn w:val="DefaultParagraphFont"/>
    <w:rsid w:val="009D28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2878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D2878"/>
  </w:style>
  <w:style w:type="character" w:styleId="Strong">
    <w:name w:val="Strong"/>
    <w:basedOn w:val="DefaultParagraphFont"/>
    <w:uiPriority w:val="22"/>
    <w:qFormat/>
    <w:rsid w:val="009D2878"/>
    <w:rPr>
      <w:b/>
      <w:bCs/>
    </w:rPr>
  </w:style>
  <w:style w:type="character" w:styleId="Emphasis">
    <w:name w:val="Emphasis"/>
    <w:basedOn w:val="DefaultParagraphFont"/>
    <w:uiPriority w:val="20"/>
    <w:qFormat/>
    <w:rsid w:val="009D28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8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87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8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878"/>
  </w:style>
  <w:style w:type="paragraph" w:styleId="Footer">
    <w:name w:val="footer"/>
    <w:basedOn w:val="Normal"/>
    <w:link w:val="FooterChar"/>
    <w:uiPriority w:val="99"/>
    <w:unhideWhenUsed/>
    <w:rsid w:val="009D28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878"/>
  </w:style>
  <w:style w:type="character" w:customStyle="1" w:styleId="Heading2Char">
    <w:name w:val="Heading 2 Char"/>
    <w:basedOn w:val="DefaultParagraphFont"/>
    <w:link w:val="Heading2"/>
    <w:uiPriority w:val="9"/>
    <w:rsid w:val="009D2878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color29">
    <w:name w:val="color_29"/>
    <w:basedOn w:val="DefaultParagraphFont"/>
    <w:rsid w:val="009D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3233</Characters>
  <Application>Microsoft Macintosh Word</Application>
  <DocSecurity>0</DocSecurity>
  <Lines>87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2018-03-21T17:12:00Z</dcterms:created>
  <dcterms:modified xsi:type="dcterms:W3CDTF">2018-03-21T17:12:00Z</dcterms:modified>
</cp:coreProperties>
</file>